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45AB" w14:textId="77777777" w:rsidR="00801155" w:rsidRPr="00801155" w:rsidRDefault="00801155" w:rsidP="00801155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10"/>
      <w:r w:rsidRPr="00801155">
        <w:rPr>
          <w:rFonts w:eastAsia="Times New Roman"/>
          <w:b/>
          <w:bCs/>
          <w:iCs/>
          <w:szCs w:val="28"/>
        </w:rPr>
        <w:t>Приложение № 5-2</w:t>
      </w:r>
      <w:r w:rsidRPr="00801155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0CE3608E" w14:textId="77777777" w:rsidR="00801155" w:rsidRPr="00801155" w:rsidRDefault="00801155" w:rsidP="00801155">
      <w:pPr>
        <w:jc w:val="right"/>
        <w:rPr>
          <w:szCs w:val="28"/>
        </w:rPr>
      </w:pPr>
    </w:p>
    <w:p w14:paraId="09FBDA3E" w14:textId="77777777" w:rsidR="00801155" w:rsidRPr="00801155" w:rsidRDefault="00801155" w:rsidP="00801155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bookmarkStart w:id="1" w:name="_Toc107930711"/>
      <w:r w:rsidRPr="00801155">
        <w:rPr>
          <w:rFonts w:eastAsia="Times New Roman"/>
          <w:b/>
          <w:bCs/>
          <w:iCs/>
          <w:szCs w:val="28"/>
          <w:lang w:eastAsia="ru-RU"/>
        </w:rPr>
        <w:t>Требования по подготовке сметы реализации проекта</w:t>
      </w:r>
      <w:bookmarkEnd w:id="1"/>
      <w:r w:rsidRPr="00801155">
        <w:rPr>
          <w:rFonts w:eastAsia="Times New Roman"/>
          <w:b/>
          <w:bCs/>
          <w:iCs/>
          <w:szCs w:val="28"/>
          <w:lang w:eastAsia="ru-RU"/>
        </w:rPr>
        <w:t xml:space="preserve"> </w:t>
      </w:r>
    </w:p>
    <w:p w14:paraId="1DF03EE7" w14:textId="77777777" w:rsidR="00801155" w:rsidRPr="00801155" w:rsidRDefault="00801155" w:rsidP="00801155">
      <w:pPr>
        <w:jc w:val="center"/>
        <w:rPr>
          <w:b/>
          <w:bCs/>
          <w:u w:val="single"/>
        </w:rPr>
      </w:pPr>
    </w:p>
    <w:p w14:paraId="24A9EBF4" w14:textId="77777777" w:rsidR="00801155" w:rsidRPr="00801155" w:rsidRDefault="00801155" w:rsidP="00801155">
      <w:pPr>
        <w:jc w:val="center"/>
        <w:rPr>
          <w:b/>
          <w:bCs/>
        </w:rPr>
      </w:pPr>
      <w:r w:rsidRPr="00801155">
        <w:rPr>
          <w:b/>
          <w:bCs/>
        </w:rPr>
        <w:t>Общие подходы и требования к составлению сметы реализации проекта</w:t>
      </w:r>
    </w:p>
    <w:p w14:paraId="25CDBFE4" w14:textId="77777777" w:rsidR="00801155" w:rsidRPr="00801155" w:rsidRDefault="00801155" w:rsidP="00801155">
      <w:pPr>
        <w:jc w:val="center"/>
      </w:pPr>
    </w:p>
    <w:p w14:paraId="614755E8" w14:textId="77777777" w:rsidR="00801155" w:rsidRPr="00801155" w:rsidRDefault="00801155" w:rsidP="0080115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При составлении сметы реализации проекта (далее – Смета) необходимо руководствоваться следующими подходами:</w:t>
      </w:r>
    </w:p>
    <w:p w14:paraId="08B79B72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 xml:space="preserve">объем </w:t>
      </w:r>
      <w:proofErr w:type="spellStart"/>
      <w:r w:rsidRPr="00801155">
        <w:rPr>
          <w:sz w:val="24"/>
          <w:szCs w:val="24"/>
        </w:rPr>
        <w:t>софинансирования</w:t>
      </w:r>
      <w:proofErr w:type="spellEnd"/>
      <w:r w:rsidRPr="00801155">
        <w:rPr>
          <w:sz w:val="24"/>
          <w:szCs w:val="24"/>
        </w:rPr>
        <w:t xml:space="preserve"> Проекта за счет средств Получателя гранта составляет не менее 20 процентов Сметы. Объем </w:t>
      </w:r>
      <w:proofErr w:type="spellStart"/>
      <w:r w:rsidRPr="00801155">
        <w:rPr>
          <w:sz w:val="24"/>
          <w:szCs w:val="24"/>
        </w:rPr>
        <w:t>софинансирования</w:t>
      </w:r>
      <w:proofErr w:type="spellEnd"/>
      <w:r w:rsidRPr="00801155">
        <w:rPr>
          <w:sz w:val="24"/>
          <w:szCs w:val="24"/>
        </w:rPr>
        <w:t xml:space="preserve"> Проекта за счет средств Получателя гранта по каждому этапу Проекта также должен составлять не менее 20 процентов общего объема Сметы. Средства </w:t>
      </w:r>
      <w:proofErr w:type="spellStart"/>
      <w:r w:rsidRPr="00801155">
        <w:rPr>
          <w:sz w:val="24"/>
          <w:szCs w:val="24"/>
        </w:rPr>
        <w:t>софинансирования</w:t>
      </w:r>
      <w:proofErr w:type="spellEnd"/>
      <w:r w:rsidRPr="00801155">
        <w:rPr>
          <w:sz w:val="24"/>
          <w:szCs w:val="24"/>
        </w:rPr>
        <w:t xml:space="preserve"> могут предоставляться только российскими юридическими лицами;</w:t>
      </w:r>
    </w:p>
    <w:p w14:paraId="06D3290D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 xml:space="preserve">в Смету включаются только те расходы на реализацию Проекта, которые планируются за счет средств Гранта и средств </w:t>
      </w:r>
      <w:proofErr w:type="spellStart"/>
      <w:r w:rsidRPr="00801155">
        <w:rPr>
          <w:sz w:val="24"/>
          <w:szCs w:val="24"/>
        </w:rPr>
        <w:t>софинансирования</w:t>
      </w:r>
      <w:proofErr w:type="spellEnd"/>
      <w:r w:rsidRPr="00801155">
        <w:rPr>
          <w:sz w:val="24"/>
          <w:szCs w:val="24"/>
        </w:rPr>
        <w:t>;</w:t>
      </w:r>
    </w:p>
    <w:p w14:paraId="6DDA99E2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 xml:space="preserve">объем </w:t>
      </w:r>
      <w:proofErr w:type="spellStart"/>
      <w:r w:rsidRPr="00801155">
        <w:rPr>
          <w:sz w:val="24"/>
          <w:szCs w:val="24"/>
        </w:rPr>
        <w:t>софинансирования</w:t>
      </w:r>
      <w:proofErr w:type="spellEnd"/>
      <w:r w:rsidRPr="00801155">
        <w:rPr>
          <w:sz w:val="24"/>
          <w:szCs w:val="24"/>
        </w:rPr>
        <w:t xml:space="preserve"> включается в Смету в необходимом для реализации Проекта размере и не может содержать расходы на финансирование иной текущей деятельности Получателя гранта;</w:t>
      </w:r>
    </w:p>
    <w:p w14:paraId="764E5BD9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статьи расходов, включенные в Смету, должны быть детализированы с указанием конкретного вида расходов, в том числе в суммовом выражении;</w:t>
      </w:r>
    </w:p>
    <w:p w14:paraId="372691A3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Смета составляется по кассовому методу.</w:t>
      </w:r>
    </w:p>
    <w:p w14:paraId="5DADF327" w14:textId="77777777" w:rsidR="00801155" w:rsidRPr="00801155" w:rsidRDefault="00801155" w:rsidP="0080115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Допускается включение в Смету расходов, понесенных не ранее начала финансового года, в котором принято решение о признании получателя гранта победителем конкурсного отбора, при условии документального подтверждения получателем гранта раздельного учета затрат на реализацию проекта.</w:t>
      </w:r>
    </w:p>
    <w:p w14:paraId="7556104F" w14:textId="77777777" w:rsidR="00801155" w:rsidRPr="00801155" w:rsidRDefault="00801155" w:rsidP="0080115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Не допускается</w:t>
      </w:r>
      <w:r w:rsidRPr="00801155">
        <w:rPr>
          <w:b/>
          <w:bCs/>
          <w:sz w:val="24"/>
          <w:szCs w:val="24"/>
        </w:rPr>
        <w:t xml:space="preserve"> </w:t>
      </w:r>
      <w:r w:rsidRPr="00801155">
        <w:rPr>
          <w:sz w:val="24"/>
          <w:szCs w:val="24"/>
        </w:rPr>
        <w:t>включение в Смету расходов на:</w:t>
      </w:r>
    </w:p>
    <w:p w14:paraId="01BC8B2F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услуги физических лиц, привлекаемых для целей реализации Проекта по договорам гражданско-правового характера;</w:t>
      </w:r>
    </w:p>
    <w:p w14:paraId="39342D84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оплату пособий по временной нетрудоспособности, отпусков, выплачиваемых при увольнении компенсаций, страхование физических лиц, включая должностных лиц организаций, участвующих в реализации проекта, в том числе: добровольное медицинское страхование физических лиц, страхование ответственности и иные виды страхования физических лиц;</w:t>
      </w:r>
    </w:p>
    <w:p w14:paraId="21C2F793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оплату питания, мобильную связь работников Получателя гранта;</w:t>
      </w:r>
    </w:p>
    <w:p w14:paraId="4FA08BFB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приобретение, строительство и ремонт объектов (в том числе производство неотделимых улучшений) недвижимости (зданий, помещений и иных объектов), в том числе используемых в рамках реализации Проекта;</w:t>
      </w:r>
    </w:p>
    <w:p w14:paraId="5D270442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проведение и оплату работ по проведению научных, опытно-конструкторских, и аналитических исследований;</w:t>
      </w:r>
    </w:p>
    <w:p w14:paraId="3CDB3D48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приобретение транспортных средств;</w:t>
      </w:r>
    </w:p>
    <w:p w14:paraId="41CABCD0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страхование имущества, в том числе используемого в рамках реализации проекта;</w:t>
      </w:r>
    </w:p>
    <w:p w14:paraId="19BA403F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оплату участия и подготовки к участию в выставках, конференциях, семинарах и иных аналогичных мероприятиях маркетингового характера;</w:t>
      </w:r>
    </w:p>
    <w:p w14:paraId="193F6BB5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оплату расходов на оказание услуг по изготовлению и распространению рекламных, маркетинговых и презентационных материалов;</w:t>
      </w:r>
    </w:p>
    <w:p w14:paraId="3113C8C9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оплату услуг по проведению маркетинговых исследований;</w:t>
      </w:r>
    </w:p>
    <w:p w14:paraId="5F0A8C2D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оплату услуг расчетно-кассового обслуживания и других банковских услуг;</w:t>
      </w:r>
    </w:p>
    <w:p w14:paraId="32B08D4A" w14:textId="77777777" w:rsidR="00801155" w:rsidRPr="00801155" w:rsidRDefault="00801155" w:rsidP="00801155">
      <w:pPr>
        <w:numPr>
          <w:ilvl w:val="2"/>
          <w:numId w:val="3"/>
        </w:numPr>
        <w:tabs>
          <w:tab w:val="left" w:pos="1134"/>
        </w:tabs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оплату иных расходов, не связанных непосредственно с реализацией Проекта.</w:t>
      </w:r>
    </w:p>
    <w:p w14:paraId="3A291BC9" w14:textId="77777777" w:rsidR="00801155" w:rsidRPr="00801155" w:rsidRDefault="00801155" w:rsidP="0080115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Смета должна быть составлена в формате Excel. Смета составляется строго в одном файле, разбиение Сметы на несколько файлов не допускается.</w:t>
      </w:r>
    </w:p>
    <w:p w14:paraId="561BC7EF" w14:textId="77777777" w:rsidR="00801155" w:rsidRPr="00801155" w:rsidRDefault="00801155" w:rsidP="00801155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Файл со Сметой должен содержать все листы, приведенные в шаблоне Сметы.</w:t>
      </w:r>
    </w:p>
    <w:p w14:paraId="02D1F478" w14:textId="77777777" w:rsidR="00801155" w:rsidRPr="00801155" w:rsidRDefault="00801155" w:rsidP="00801155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lastRenderedPageBreak/>
        <w:t>Никакая часть файла со Сметой не должна быть скрыта, защищена, заблокирована или иным образом недоступна для просмотра и внесения изменений.</w:t>
      </w:r>
    </w:p>
    <w:p w14:paraId="4B9C4E80" w14:textId="77777777" w:rsidR="00801155" w:rsidRPr="00801155" w:rsidRDefault="00801155" w:rsidP="0080115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Все элементы, используемые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 и циклические ссылки.</w:t>
      </w:r>
    </w:p>
    <w:p w14:paraId="467C531A" w14:textId="77777777" w:rsidR="00801155" w:rsidRPr="00801155" w:rsidRDefault="00801155" w:rsidP="00801155">
      <w:pPr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/>
        </w:rPr>
      </w:pPr>
    </w:p>
    <w:p w14:paraId="2A8CEBAE" w14:textId="77777777" w:rsidR="00801155" w:rsidRPr="00801155" w:rsidRDefault="00801155" w:rsidP="00801155">
      <w:pPr>
        <w:jc w:val="center"/>
        <w:rPr>
          <w:b/>
          <w:bCs/>
        </w:rPr>
      </w:pPr>
      <w:r w:rsidRPr="00801155">
        <w:rPr>
          <w:b/>
          <w:bCs/>
        </w:rPr>
        <w:t>Планирование расходов по статьям Сметы</w:t>
      </w:r>
    </w:p>
    <w:p w14:paraId="7B3A46E0" w14:textId="77777777" w:rsidR="00801155" w:rsidRPr="00801155" w:rsidRDefault="00801155" w:rsidP="00801155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left"/>
        <w:rPr>
          <w:bCs/>
          <w:sz w:val="24"/>
          <w:szCs w:val="24"/>
        </w:rPr>
      </w:pPr>
    </w:p>
    <w:p w14:paraId="05BE0952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1.6. Планирование расходов по Проекту должно осуществляться в рамках указанных ниже статей с учетом приведенных далее требований и ограничений по каждой статье:</w:t>
      </w:r>
    </w:p>
    <w:p w14:paraId="667851B3" w14:textId="77777777" w:rsidR="00801155" w:rsidRPr="00801155" w:rsidRDefault="00801155" w:rsidP="008011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bCs/>
          <w:sz w:val="24"/>
          <w:szCs w:val="24"/>
        </w:rPr>
      </w:pPr>
      <w:r w:rsidRPr="00801155">
        <w:rPr>
          <w:sz w:val="24"/>
          <w:szCs w:val="24"/>
        </w:rPr>
        <w:t>Расходы</w:t>
      </w:r>
      <w:r w:rsidRPr="00801155">
        <w:rPr>
          <w:bCs/>
          <w:sz w:val="24"/>
          <w:szCs w:val="24"/>
        </w:rPr>
        <w:t xml:space="preserve"> на оплату труда работников, связанных с реализацией Проекта;</w:t>
      </w:r>
    </w:p>
    <w:p w14:paraId="30E321BC" w14:textId="77777777" w:rsidR="00801155" w:rsidRPr="00801155" w:rsidRDefault="00801155" w:rsidP="008011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Накладные расходы;</w:t>
      </w:r>
    </w:p>
    <w:p w14:paraId="1491FDBE" w14:textId="77777777" w:rsidR="00801155" w:rsidRPr="00801155" w:rsidRDefault="00801155" w:rsidP="008011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bCs/>
          <w:sz w:val="24"/>
          <w:szCs w:val="24"/>
        </w:rPr>
      </w:pPr>
      <w:r w:rsidRPr="00801155">
        <w:rPr>
          <w:sz w:val="24"/>
          <w:szCs w:val="24"/>
        </w:rPr>
        <w:t>Расходы на оплату работ (услуг) сторонних организаций, непосредственно привлекаемых к реализации Проекта;</w:t>
      </w:r>
    </w:p>
    <w:p w14:paraId="3FC030B3" w14:textId="77777777" w:rsidR="00801155" w:rsidRPr="00801155" w:rsidRDefault="00801155" w:rsidP="0080115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rPr>
          <w:bCs/>
          <w:sz w:val="24"/>
          <w:szCs w:val="24"/>
        </w:rPr>
      </w:pPr>
      <w:r w:rsidRPr="00801155">
        <w:rPr>
          <w:sz w:val="24"/>
          <w:szCs w:val="24"/>
        </w:rPr>
        <w:t>Расходы на приобретение нефинансовых активов</w:t>
      </w:r>
      <w:r w:rsidRPr="00801155">
        <w:rPr>
          <w:bCs/>
          <w:sz w:val="24"/>
          <w:szCs w:val="24"/>
        </w:rPr>
        <w:t>.</w:t>
      </w:r>
    </w:p>
    <w:p w14:paraId="4B19123A" w14:textId="77777777" w:rsidR="00801155" w:rsidRPr="00801155" w:rsidRDefault="00801155" w:rsidP="00801155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hanging="4046"/>
        <w:contextualSpacing/>
        <w:rPr>
          <w:bCs/>
          <w:sz w:val="24"/>
          <w:szCs w:val="24"/>
        </w:rPr>
      </w:pPr>
      <w:r w:rsidRPr="00801155">
        <w:rPr>
          <w:sz w:val="24"/>
          <w:szCs w:val="24"/>
        </w:rPr>
        <w:t>Расходы</w:t>
      </w:r>
      <w:r w:rsidRPr="00801155">
        <w:rPr>
          <w:bCs/>
          <w:sz w:val="24"/>
          <w:szCs w:val="24"/>
        </w:rPr>
        <w:t xml:space="preserve"> на оплату труда работников, связанных с реализацией Проекта.</w:t>
      </w:r>
    </w:p>
    <w:p w14:paraId="1BDD14B0" w14:textId="77777777" w:rsidR="00801155" w:rsidRPr="00801155" w:rsidRDefault="00801155" w:rsidP="00801155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left="4050" w:hanging="3510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Оплата труда работников.</w:t>
      </w:r>
    </w:p>
    <w:p w14:paraId="0B6F60B5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Результаты планирования расходов Сметы по данной статье отражаются в расшифровке ФОТ на рабочую группу помесячно.</w:t>
      </w:r>
    </w:p>
    <w:p w14:paraId="4ADDBF25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Отдельно осуществляется планирование трудоемкости каждой штатной единицы, привлекаемой непосредственно к реализации Проекта (участвующей в реализации мероприятий календарного плана Проекта), с обозначением функционала и количества планируемых часов в рамках каждого этапа Проекта.</w:t>
      </w:r>
    </w:p>
    <w:p w14:paraId="37FABB8B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При планировании Сметы по данной статье учитывается заработная плата</w:t>
      </w:r>
      <w:r w:rsidRPr="00801155">
        <w:rPr>
          <w:sz w:val="24"/>
          <w:szCs w:val="24"/>
          <w:vertAlign w:val="superscript"/>
        </w:rPr>
        <w:footnoteReference w:id="1"/>
      </w:r>
      <w:r w:rsidRPr="00801155">
        <w:rPr>
          <w:sz w:val="24"/>
          <w:szCs w:val="24"/>
        </w:rPr>
        <w:t xml:space="preserve"> за фактически отработанное время (часы или дни в зависимости от принятой в организации системы учета) по проекту. Максимальный размер заработной платы работника в смете проекта 480 000 рублей в том числе НДФЛ (за счет средств гранта 384 000 руб. в том числе НДФЛ) за месяц при полном рабочем дне и пятидневной рабочей неделе с продолжительностью ежедневной работы (смены) не менее 8 часов. В случае необходимости привлечения уникальных специалистов, требующих более высокой оплаты, это возможно только по согласованию с грантовым комитетом во время защиты проекта. Указанная сумма не включает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труда.</w:t>
      </w:r>
    </w:p>
    <w:p w14:paraId="28F999D1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proofErr w:type="gramStart"/>
      <w:r w:rsidRPr="00801155">
        <w:rPr>
          <w:sz w:val="24"/>
          <w:szCs w:val="24"/>
        </w:rPr>
        <w:t>Таким образом, в случае, если</w:t>
      </w:r>
      <w:proofErr w:type="gramEnd"/>
      <w:r w:rsidRPr="00801155">
        <w:rPr>
          <w:sz w:val="24"/>
          <w:szCs w:val="24"/>
        </w:rPr>
        <w:t xml:space="preserve"> сотрудник не отработал полное количество рабочих часов (или рабочих дней при системе учета в днях) за соответствующий месяц, то заработная плата считается пропорционально отработанным часам/дням.  </w:t>
      </w:r>
    </w:p>
    <w:p w14:paraId="0A8EA3FF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Размер заработной платы устанавливается на основании объективных, проверяемых факторов: системы грейдов, уровня сложности выполняемой работы, квалификации сотрудников, рыночной стоимости специалистов и т.д. При необходимости подтверждения обоснованности размера заработной платы по конкретным сотрудникам фондом могут быть запрошены подтверждающие материалы.</w:t>
      </w:r>
    </w:p>
    <w:p w14:paraId="1D36228A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Включение в Смету расходов на оплату труда работников Получателя гранта, в том числе административно-управленческого персонала, не принимающего непосредственного участия в реализации Проекта (мероприятий календарного плана Проекта), не допускается.</w:t>
      </w:r>
    </w:p>
    <w:p w14:paraId="40D7C4C0" w14:textId="77777777" w:rsidR="00801155" w:rsidRPr="00801155" w:rsidRDefault="00801155" w:rsidP="00801155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hanging="8686"/>
        <w:contextualSpacing/>
        <w:jc w:val="left"/>
        <w:rPr>
          <w:sz w:val="24"/>
          <w:szCs w:val="24"/>
        </w:rPr>
      </w:pPr>
      <w:r w:rsidRPr="00801155">
        <w:rPr>
          <w:sz w:val="24"/>
          <w:szCs w:val="24"/>
        </w:rPr>
        <w:t>Обязательные страховые взносы.</w:t>
      </w:r>
    </w:p>
    <w:p w14:paraId="30A3D191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 xml:space="preserve">Обязательные страховые взносы включают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</w:t>
      </w:r>
      <w:r w:rsidRPr="00801155">
        <w:rPr>
          <w:sz w:val="24"/>
          <w:szCs w:val="24"/>
        </w:rPr>
        <w:lastRenderedPageBreak/>
        <w:t>несчастных случаев на производстве и профессиональных заболеваний, начисленные на суммы расходов на оплату труда.</w:t>
      </w:r>
    </w:p>
    <w:p w14:paraId="17AB7D06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При планировании расчет расходов на оплату обязательных страховых взносов следует производить исходя из действующих ставок/тарифов с учетом достижения регресса по должности (соответствующей роли в проекте). Право на пониженную ставку страховых взносов возникает с месяца, следующего за тем, в котором подтвердился предельный объем дохода.</w:t>
      </w:r>
    </w:p>
    <w:p w14:paraId="28E7FE63" w14:textId="77777777" w:rsidR="00801155" w:rsidRPr="00801155" w:rsidRDefault="00801155" w:rsidP="00801155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Накладные расходы</w:t>
      </w:r>
      <w:r w:rsidRPr="00801155">
        <w:rPr>
          <w:bCs/>
          <w:sz w:val="24"/>
          <w:szCs w:val="24"/>
        </w:rPr>
        <w:t>.</w:t>
      </w:r>
    </w:p>
    <w:p w14:paraId="6716E013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Общая сумма накладных расходов по Смете не должна превышать 10% от общего размера Сметы проекта, а также Сметы по каждому этапу Проекта. Допускается включение в смету накладных расходов, приведенных ниже.</w:t>
      </w:r>
    </w:p>
    <w:p w14:paraId="739F1702" w14:textId="77777777" w:rsidR="00801155" w:rsidRPr="00801155" w:rsidRDefault="00801155" w:rsidP="00801155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hanging="8866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801155">
        <w:rPr>
          <w:rFonts w:eastAsia="Times New Roman"/>
          <w:bCs/>
          <w:sz w:val="24"/>
          <w:szCs w:val="24"/>
          <w:lang w:eastAsia="ru-RU"/>
        </w:rPr>
        <w:t>Расходы на аренду.</w:t>
      </w:r>
    </w:p>
    <w:p w14:paraId="3942AD53" w14:textId="77777777" w:rsidR="00801155" w:rsidRPr="00801155" w:rsidRDefault="00801155" w:rsidP="00801155">
      <w:pPr>
        <w:ind w:firstLine="567"/>
        <w:rPr>
          <w:sz w:val="24"/>
          <w:szCs w:val="24"/>
        </w:rPr>
      </w:pPr>
      <w:r w:rsidRPr="00801155">
        <w:rPr>
          <w:rFonts w:eastAsia="Times New Roman"/>
          <w:sz w:val="24"/>
          <w:szCs w:val="24"/>
          <w:lang w:eastAsia="ru-RU"/>
        </w:rPr>
        <w:t xml:space="preserve">Сумма расходов на </w:t>
      </w:r>
      <w:r w:rsidRPr="00801155">
        <w:rPr>
          <w:bCs/>
          <w:sz w:val="24"/>
          <w:szCs w:val="24"/>
        </w:rPr>
        <w:t>аренду помещений, включаемая в Смету, рассчитывается исходя из занимаемой площади и установленной в договоре аренды ставки арендной платы.</w:t>
      </w:r>
    </w:p>
    <w:p w14:paraId="4E001DE5" w14:textId="77777777" w:rsidR="00801155" w:rsidRPr="00801155" w:rsidRDefault="00801155" w:rsidP="00801155">
      <w:pPr>
        <w:ind w:firstLine="567"/>
        <w:rPr>
          <w:rFonts w:eastAsia="Times New Roman"/>
          <w:sz w:val="24"/>
          <w:szCs w:val="24"/>
          <w:lang w:eastAsia="ru-RU"/>
        </w:rPr>
      </w:pPr>
      <w:r w:rsidRPr="00801155">
        <w:rPr>
          <w:rFonts w:eastAsia="Times New Roman"/>
          <w:sz w:val="24"/>
          <w:szCs w:val="24"/>
          <w:lang w:eastAsia="ru-RU"/>
        </w:rPr>
        <w:t>Площадь арендуемого помещения, используемая для целей расчета расходов, включаемых в Смету, должна соотноситься с параметрами Проекта (например, в соответствии с количеством сотрудников, участвующих в Проекте).</w:t>
      </w:r>
    </w:p>
    <w:p w14:paraId="7587C4BD" w14:textId="77777777" w:rsidR="00801155" w:rsidRPr="00801155" w:rsidRDefault="00801155" w:rsidP="00801155">
      <w:pPr>
        <w:ind w:firstLine="567"/>
        <w:rPr>
          <w:rFonts w:eastAsia="Times New Roman"/>
          <w:sz w:val="24"/>
          <w:szCs w:val="24"/>
          <w:lang w:eastAsia="ru-RU"/>
        </w:rPr>
      </w:pPr>
      <w:r w:rsidRPr="00801155">
        <w:rPr>
          <w:bCs/>
          <w:sz w:val="24"/>
          <w:szCs w:val="24"/>
        </w:rPr>
        <w:t>Не допускается к включению в Смету расходов на оплату к</w:t>
      </w:r>
      <w:r w:rsidRPr="00801155">
        <w:rPr>
          <w:rFonts w:eastAsia="Times New Roman"/>
          <w:sz w:val="24"/>
          <w:szCs w:val="24"/>
          <w:lang w:eastAsia="ru-RU"/>
        </w:rPr>
        <w:t>оммунальных услуг, содержание зданий и сооружений и других аналогичных расходов.</w:t>
      </w:r>
    </w:p>
    <w:p w14:paraId="74936BBC" w14:textId="77777777" w:rsidR="00801155" w:rsidRPr="00801155" w:rsidRDefault="00801155" w:rsidP="00801155">
      <w:pPr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ind w:hanging="8866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 w:rsidRPr="00801155">
        <w:rPr>
          <w:rFonts w:eastAsia="Times New Roman"/>
          <w:bCs/>
          <w:sz w:val="24"/>
          <w:szCs w:val="24"/>
          <w:lang w:eastAsia="ru-RU"/>
        </w:rPr>
        <w:t>Расходы на командировки.</w:t>
      </w:r>
    </w:p>
    <w:p w14:paraId="56990CD9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 xml:space="preserve">В данную статью Сметы включаются расходы на командировки, непосредственно связанные с выполнением мероприятий календарного плана Проекта, </w:t>
      </w:r>
      <w:r w:rsidRPr="00801155">
        <w:rPr>
          <w:bCs/>
          <w:sz w:val="24"/>
          <w:szCs w:val="24"/>
        </w:rPr>
        <w:t>работников Получателя гранта</w:t>
      </w:r>
      <w:r w:rsidRPr="00801155">
        <w:rPr>
          <w:sz w:val="24"/>
          <w:szCs w:val="24"/>
        </w:rPr>
        <w:t>, деятельность которых направлена на реализацию Проекта.</w:t>
      </w:r>
    </w:p>
    <w:p w14:paraId="488EBCEB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 xml:space="preserve">В состав командировочных расходов включаются исключительно следующие виды расходов: </w:t>
      </w:r>
    </w:p>
    <w:p w14:paraId="26F26647" w14:textId="77777777" w:rsidR="00801155" w:rsidRPr="00801155" w:rsidRDefault="00801155" w:rsidP="00801155">
      <w:pPr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а) суточные, не более 700 руб. за каждый день командировки;</w:t>
      </w:r>
    </w:p>
    <w:p w14:paraId="3C4A82A4" w14:textId="77777777" w:rsidR="00801155" w:rsidRPr="00801155" w:rsidRDefault="00801155" w:rsidP="00801155">
      <w:pPr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б) расходы на приобретение проездных документов. Для всех командировок следует выбирать наиболее целесообразный вид перевозки с точки зрения общих издержек на командирование и графика командировки, исходя из следующих параметров и в зависимости от вида используемого транспорта:</w:t>
      </w:r>
    </w:p>
    <w:p w14:paraId="1182A70C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 xml:space="preserve">при авиаперелетах – перелет в салоне эконом-класса; </w:t>
      </w:r>
    </w:p>
    <w:p w14:paraId="5C4F2630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при проезде железнодорожным транспортом – проезд в вагонах поезда класса не выше купе;</w:t>
      </w:r>
    </w:p>
    <w:p w14:paraId="6378ED6E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при проезде железнодорожным транспортом в скоростных поездах («Сапсан» и подобных) – в вагонах эконом-класса;</w:t>
      </w:r>
    </w:p>
    <w:p w14:paraId="313987AD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 xml:space="preserve">в) расходы на проживание во время командировок. Следует выбирать категорию объектов размещения (гостиниц, отелей, др.) таким образом, чтобы стоимость проживания 1 человека в отдельном номере не превышала 4500 рублей за ночь. </w:t>
      </w:r>
    </w:p>
    <w:p w14:paraId="0716D536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Включение в Смету дополнительных расходов в гостинице, связанных с обслуживанием номера (уборка, химчистка, услуги носильщика), питанием в ресторане, баре, посещением оздоровительных заведений (бассейна, спортзала, сауны), в качестве командировочных расходов не допускается;</w:t>
      </w:r>
    </w:p>
    <w:p w14:paraId="11FE3889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01155">
        <w:rPr>
          <w:sz w:val="24"/>
          <w:szCs w:val="24"/>
        </w:rPr>
        <w:t>г) расходы на такси исключительно в ночное время суток (с 22:00 до 06:00). Маршрут допускается от места выбытия (место проживания или место работ) до аэропорта или ж/д вокзала, от аэропорта или ж/д вокзала до места командирования и обратно.</w:t>
      </w:r>
    </w:p>
    <w:p w14:paraId="60CB90EC" w14:textId="2353A3E2" w:rsidR="00801155" w:rsidRPr="00801155" w:rsidRDefault="00801155" w:rsidP="00801155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90" w:firstLine="270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Расходы на оплату работ (услуг) сторонних организаций</w:t>
      </w:r>
      <w:r w:rsidRPr="00801155">
        <w:rPr>
          <w:sz w:val="24"/>
          <w:szCs w:val="24"/>
          <w:vertAlign w:val="superscript"/>
        </w:rPr>
        <w:footnoteReference w:id="2"/>
      </w:r>
      <w:r w:rsidRPr="00801155">
        <w:rPr>
          <w:sz w:val="24"/>
          <w:szCs w:val="24"/>
        </w:rPr>
        <w:t>, непосредственно привлекаемых</w:t>
      </w:r>
      <w:r>
        <w:rPr>
          <w:sz w:val="24"/>
          <w:szCs w:val="24"/>
        </w:rPr>
        <w:t xml:space="preserve"> </w:t>
      </w:r>
      <w:r w:rsidRPr="00801155">
        <w:rPr>
          <w:sz w:val="24"/>
          <w:szCs w:val="24"/>
        </w:rPr>
        <w:t>к реализации Проекта</w:t>
      </w:r>
      <w:r w:rsidRPr="00801155">
        <w:rPr>
          <w:bCs/>
          <w:sz w:val="24"/>
          <w:szCs w:val="24"/>
        </w:rPr>
        <w:t>.</w:t>
      </w:r>
    </w:p>
    <w:p w14:paraId="7C838D90" w14:textId="77777777" w:rsidR="00801155" w:rsidRPr="00801155" w:rsidRDefault="00801155" w:rsidP="00801155">
      <w:pPr>
        <w:ind w:firstLine="567"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Общая сумма расходов по данной статье не должна превышать 20% от</w:t>
      </w:r>
      <w:r w:rsidRPr="00801155">
        <w:rPr>
          <w:sz w:val="24"/>
          <w:szCs w:val="24"/>
        </w:rPr>
        <w:t xml:space="preserve"> общего размера Сметы проекта</w:t>
      </w:r>
      <w:r w:rsidRPr="00801155">
        <w:rPr>
          <w:bCs/>
          <w:sz w:val="24"/>
          <w:szCs w:val="24"/>
        </w:rPr>
        <w:t>.</w:t>
      </w:r>
    </w:p>
    <w:p w14:paraId="5DDAD9BA" w14:textId="77777777" w:rsidR="00801155" w:rsidRPr="00801155" w:rsidRDefault="00801155" w:rsidP="00801155">
      <w:pPr>
        <w:tabs>
          <w:tab w:val="left" w:pos="1134"/>
        </w:tabs>
        <w:autoSpaceDE w:val="0"/>
        <w:autoSpaceDN w:val="0"/>
        <w:adjustRightInd w:val="0"/>
        <w:ind w:left="567"/>
        <w:contextualSpacing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В данную категорию расходов Сметы включаются расходы на оплату:</w:t>
      </w:r>
    </w:p>
    <w:p w14:paraId="2FDF9DB2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аренды специализированного оборудования (аппаратных, программно-аппаратных комплексов и пр.), непосредственно связанного с реализацией Проекта;</w:t>
      </w:r>
    </w:p>
    <w:p w14:paraId="30B1896F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аренды специализированного программного обеспечения (сред разработки, тестовых сред и пр.), непосредственно связанного с реализацией Проекта;</w:t>
      </w:r>
    </w:p>
    <w:p w14:paraId="25F24403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аренды вычислительных мощностей, облачных хранилищ</w:t>
      </w:r>
      <w:r w:rsidRPr="00801155">
        <w:rPr>
          <w:sz w:val="24"/>
          <w:szCs w:val="24"/>
        </w:rPr>
        <w:t>, непосредственно связанных с реализацией Проекта;</w:t>
      </w:r>
    </w:p>
    <w:p w14:paraId="5A27F504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lastRenderedPageBreak/>
        <w:t>работ (услуг) сторонних организаций по разработке (доработке) отдельных частей (модулей) Решения;</w:t>
      </w:r>
    </w:p>
    <w:p w14:paraId="49EF70B2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иных работ (услуг), непосредственно связанных с реализацией Проекта.</w:t>
      </w:r>
    </w:p>
    <w:p w14:paraId="01C33921" w14:textId="77777777" w:rsidR="00801155" w:rsidRPr="00801155" w:rsidRDefault="00801155" w:rsidP="00801155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801155">
        <w:rPr>
          <w:rFonts w:eastAsia="Times New Roman"/>
          <w:bCs/>
          <w:sz w:val="24"/>
          <w:szCs w:val="24"/>
          <w:lang w:eastAsia="ru-RU"/>
        </w:rPr>
        <w:t>Планирование данной категории расходов производится исходя из рыночной стоимости аналогичных работ (услуг), информация о которой должна подтверждаться в Смете путем указания ссылок на публичные ресурсы, реквизиты и данные коммерческих предложений, иных документов, с приложением соответствующих подтверждающих документов в составе материалов Заявки.</w:t>
      </w:r>
    </w:p>
    <w:p w14:paraId="39736002" w14:textId="77777777" w:rsidR="00801155" w:rsidRPr="00801155" w:rsidRDefault="00801155" w:rsidP="00801155">
      <w:pPr>
        <w:ind w:firstLine="567"/>
        <w:rPr>
          <w:rFonts w:eastAsia="Times New Roman"/>
          <w:bCs/>
          <w:sz w:val="24"/>
          <w:szCs w:val="24"/>
          <w:lang w:eastAsia="ru-RU"/>
        </w:rPr>
      </w:pPr>
      <w:r w:rsidRPr="00801155">
        <w:rPr>
          <w:rFonts w:eastAsia="Times New Roman"/>
          <w:bCs/>
          <w:sz w:val="24"/>
          <w:szCs w:val="24"/>
          <w:lang w:eastAsia="ru-RU"/>
        </w:rPr>
        <w:t xml:space="preserve">В целях соблюдения доли </w:t>
      </w:r>
      <w:proofErr w:type="spellStart"/>
      <w:r w:rsidRPr="00801155">
        <w:rPr>
          <w:rFonts w:eastAsia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801155">
        <w:rPr>
          <w:rFonts w:eastAsia="Times New Roman"/>
          <w:bCs/>
          <w:sz w:val="24"/>
          <w:szCs w:val="24"/>
          <w:lang w:eastAsia="ru-RU"/>
        </w:rPr>
        <w:t xml:space="preserve"> в течение реализации проекта, при составлении Сметы по каждому этапу рекомендуется отражать услуги/работы сторонних организаций, привлекаемых к реализации проекта, за счет двух источников (средств гранта и средств </w:t>
      </w:r>
      <w:proofErr w:type="spellStart"/>
      <w:r w:rsidRPr="00801155">
        <w:rPr>
          <w:rFonts w:eastAsia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801155">
        <w:rPr>
          <w:rFonts w:eastAsia="Times New Roman"/>
          <w:bCs/>
          <w:sz w:val="24"/>
          <w:szCs w:val="24"/>
          <w:lang w:eastAsia="ru-RU"/>
        </w:rPr>
        <w:t>).</w:t>
      </w:r>
    </w:p>
    <w:p w14:paraId="1A370F56" w14:textId="77777777" w:rsidR="00801155" w:rsidRPr="00801155" w:rsidRDefault="00801155" w:rsidP="00801155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hanging="4073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Расходы на приобретение нефинансовых активов</w:t>
      </w:r>
      <w:r w:rsidRPr="00801155">
        <w:rPr>
          <w:bCs/>
          <w:sz w:val="24"/>
          <w:szCs w:val="24"/>
        </w:rPr>
        <w:t>.</w:t>
      </w:r>
    </w:p>
    <w:p w14:paraId="4D542238" w14:textId="77777777" w:rsidR="00801155" w:rsidRPr="00801155" w:rsidRDefault="00801155" w:rsidP="00801155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801155">
        <w:rPr>
          <w:bCs/>
          <w:sz w:val="24"/>
          <w:szCs w:val="24"/>
        </w:rPr>
        <w:t>К данной статье расходов относятся расходы на:</w:t>
      </w:r>
    </w:p>
    <w:p w14:paraId="2FB19F3A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приобретение программного обеспечения и иных нематериальных активов, непосредственно связанных с реализацией Проекта;</w:t>
      </w:r>
    </w:p>
    <w:p w14:paraId="4C364897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приобретение аппаратных и программно-аппаратных средств (ПАК), непосредственно связанных с реализацией Проекта;</w:t>
      </w:r>
    </w:p>
    <w:p w14:paraId="598B9E7F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rFonts w:eastAsia="Times New Roman"/>
          <w:sz w:val="24"/>
          <w:szCs w:val="24"/>
        </w:rPr>
        <w:t xml:space="preserve">приобретение инфраструктуры. Под расходами на инфраструктуру понимаются в том числе расходы на приобретение серверного и коммутационного оборудования, расходы на организацию сетей связи и передачи данных, расходы на создание и оснащение линейных сооружений, расходы на дооснащение рабочих мест компьютерной техникой и другие расходы, которые направлены на обеспечение технологических и бизнес-процессов получателя гранта. Объем расходов на инфраструктуру может составлять не более 30% от </w:t>
      </w:r>
      <w:r w:rsidRPr="00801155">
        <w:rPr>
          <w:color w:val="000000"/>
          <w:sz w:val="24"/>
          <w:szCs w:val="24"/>
        </w:rPr>
        <w:t>общего размера Сметы проекта</w:t>
      </w:r>
      <w:r w:rsidRPr="00801155">
        <w:rPr>
          <w:rFonts w:eastAsia="Times New Roman"/>
          <w:sz w:val="24"/>
          <w:szCs w:val="24"/>
        </w:rPr>
        <w:t xml:space="preserve">. Расходы на инфраструктуру допускаются за счет средств гранта и средств </w:t>
      </w:r>
      <w:proofErr w:type="spellStart"/>
      <w:r w:rsidRPr="00801155">
        <w:rPr>
          <w:rFonts w:eastAsia="Times New Roman"/>
          <w:sz w:val="24"/>
          <w:szCs w:val="24"/>
        </w:rPr>
        <w:t>софинансирования</w:t>
      </w:r>
      <w:proofErr w:type="spellEnd"/>
      <w:r w:rsidRPr="00801155">
        <w:rPr>
          <w:rFonts w:eastAsia="Times New Roman"/>
          <w:sz w:val="24"/>
          <w:szCs w:val="24"/>
        </w:rPr>
        <w:t>;</w:t>
      </w:r>
    </w:p>
    <w:p w14:paraId="5C4C5F94" w14:textId="77777777" w:rsidR="00801155" w:rsidRPr="00801155" w:rsidRDefault="00801155" w:rsidP="0080115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567"/>
        <w:contextualSpacing/>
        <w:rPr>
          <w:sz w:val="24"/>
          <w:szCs w:val="24"/>
        </w:rPr>
      </w:pPr>
      <w:r w:rsidRPr="00801155">
        <w:rPr>
          <w:sz w:val="24"/>
          <w:szCs w:val="24"/>
        </w:rPr>
        <w:t>иные расходы на приобретение нефинансовых активов, непосредственно связанных с реализацией Проекта.</w:t>
      </w:r>
    </w:p>
    <w:p w14:paraId="78FB8AC0" w14:textId="77777777" w:rsidR="00801155" w:rsidRPr="00801155" w:rsidRDefault="00801155" w:rsidP="00801155">
      <w:pPr>
        <w:ind w:firstLine="567"/>
        <w:rPr>
          <w:rFonts w:eastAsia="Times New Roman"/>
          <w:sz w:val="24"/>
          <w:szCs w:val="24"/>
        </w:rPr>
      </w:pPr>
      <w:r w:rsidRPr="00801155">
        <w:rPr>
          <w:rFonts w:eastAsia="Times New Roman"/>
          <w:bCs/>
          <w:sz w:val="24"/>
          <w:szCs w:val="24"/>
          <w:lang w:eastAsia="ru-RU"/>
        </w:rPr>
        <w:t>Планирование данной категории расходов производится исходя из рыночной стоимости аналогичных нефинансовых активов, информация о которой должна подтверждаться в Смете путем указания ссылок на публичные ресурсы, реквизиты коммерческих предложений, заключенных договоров, иных документов, с приложением соответствующих подтверждающих документов в составе материалов Заявки. Дополнительно в Смете приводится о</w:t>
      </w:r>
      <w:r w:rsidRPr="00801155">
        <w:rPr>
          <w:rFonts w:eastAsia="Times New Roman"/>
          <w:sz w:val="24"/>
          <w:szCs w:val="24"/>
        </w:rPr>
        <w:t>боснование необходимости приобретения нефинансового актива.</w:t>
      </w:r>
    </w:p>
    <w:p w14:paraId="6506EDB8" w14:textId="77777777" w:rsidR="00801155" w:rsidRPr="00801155" w:rsidRDefault="00801155" w:rsidP="00801155">
      <w:pPr>
        <w:ind w:firstLine="567"/>
        <w:rPr>
          <w:rFonts w:eastAsia="Times New Roman"/>
          <w:sz w:val="24"/>
          <w:szCs w:val="24"/>
        </w:rPr>
      </w:pPr>
      <w:r w:rsidRPr="00801155">
        <w:rPr>
          <w:rFonts w:eastAsia="Times New Roman"/>
          <w:sz w:val="24"/>
          <w:szCs w:val="24"/>
        </w:rPr>
        <w:t>Приобретение нефинансового актива зарубежного производства возможно только в случае отсутствия аналога на отечественном рынке (данная информация также указывается в комментариях к расчету в Смете проекта). Приобретаемый нефинансовый актив отечественного производства должен быть включен в один из реестров (Единый реестр российских программ для электронных вычислительных машин и баз данных, Единый реестр российской радиоэлектронной продукции). Отсутствие НФА в соответствующем реестре подтверждает отсутствие отечественного аналога на рынке. При этом расчет стоимости импортного оборудования за счет средств иностранной валюты производится исходя из его рыночной стоимости в пересчете на рублевый эквивалент. В этом случае в расчете в качестве дополнительной информации указывается курс конвертации, используемый при расчете расходов по данной статье Сметы.</w:t>
      </w:r>
    </w:p>
    <w:p w14:paraId="55DAA35A" w14:textId="77777777" w:rsidR="00801155" w:rsidRPr="00801155" w:rsidRDefault="00801155" w:rsidP="00801155">
      <w:pPr>
        <w:ind w:firstLine="567"/>
        <w:rPr>
          <w:szCs w:val="28"/>
        </w:rPr>
      </w:pPr>
      <w:r w:rsidRPr="00801155">
        <w:rPr>
          <w:sz w:val="24"/>
          <w:szCs w:val="24"/>
        </w:rPr>
        <w:t xml:space="preserve">В целях соблюдения доли </w:t>
      </w:r>
      <w:proofErr w:type="spellStart"/>
      <w:r w:rsidRPr="00801155">
        <w:rPr>
          <w:sz w:val="24"/>
          <w:szCs w:val="24"/>
        </w:rPr>
        <w:t>софинансирования</w:t>
      </w:r>
      <w:proofErr w:type="spellEnd"/>
      <w:r w:rsidRPr="00801155">
        <w:rPr>
          <w:sz w:val="24"/>
          <w:szCs w:val="24"/>
        </w:rPr>
        <w:t xml:space="preserve"> в течение реализации проекта, при составлении Сметы по каждому этапу рекомендуется отражать приобретение каждого НФА за счет двух источников (средств гранта и средств </w:t>
      </w:r>
      <w:proofErr w:type="spellStart"/>
      <w:r w:rsidRPr="00801155">
        <w:rPr>
          <w:sz w:val="24"/>
          <w:szCs w:val="24"/>
        </w:rPr>
        <w:t>софинансирования</w:t>
      </w:r>
      <w:proofErr w:type="spellEnd"/>
      <w:r w:rsidRPr="00801155">
        <w:rPr>
          <w:sz w:val="24"/>
          <w:szCs w:val="24"/>
        </w:rPr>
        <w:t>).</w:t>
      </w:r>
    </w:p>
    <w:p w14:paraId="7DDFE5D4" w14:textId="105CF1FF" w:rsidR="00962362" w:rsidRPr="00801155" w:rsidRDefault="00962362" w:rsidP="00801155"/>
    <w:sectPr w:rsidR="00962362" w:rsidRPr="00801155" w:rsidSect="00F51BE8">
      <w:pgSz w:w="11906" w:h="16838"/>
      <w:pgMar w:top="6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4564" w14:textId="77777777" w:rsidR="00DB71DE" w:rsidRDefault="00DB71DE" w:rsidP="00F51BE8">
      <w:r>
        <w:separator/>
      </w:r>
    </w:p>
  </w:endnote>
  <w:endnote w:type="continuationSeparator" w:id="0">
    <w:p w14:paraId="780C5DE2" w14:textId="77777777" w:rsidR="00DB71DE" w:rsidRDefault="00DB71DE" w:rsidP="00F5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895C" w14:textId="77777777" w:rsidR="00DB71DE" w:rsidRDefault="00DB71DE" w:rsidP="00F51BE8">
      <w:r>
        <w:separator/>
      </w:r>
    </w:p>
  </w:footnote>
  <w:footnote w:type="continuationSeparator" w:id="0">
    <w:p w14:paraId="09FA3304" w14:textId="77777777" w:rsidR="00DB71DE" w:rsidRDefault="00DB71DE" w:rsidP="00F51BE8">
      <w:r>
        <w:continuationSeparator/>
      </w:r>
    </w:p>
  </w:footnote>
  <w:footnote w:id="1">
    <w:p w14:paraId="509682FA" w14:textId="77777777" w:rsidR="00801155" w:rsidRPr="007F5F45" w:rsidRDefault="00801155" w:rsidP="00801155">
      <w:pPr>
        <w:pStyle w:val="a3"/>
        <w:jc w:val="both"/>
      </w:pPr>
      <w:r>
        <w:rPr>
          <w:rStyle w:val="a5"/>
        </w:rPr>
        <w:footnoteRef/>
      </w:r>
      <w:r>
        <w:t xml:space="preserve"> В заработную плату наряду с должностным окладом включаются ежемесячные стимулирующие и компенсационные выплаты, прописанные в трудовом договоре с сотрудником. Премии (разовые, ежемесячные, ежеквартальные и т.д.), разовые компенсационные выплаты, разовые стимулирующие выплаты, а также социальные выплаты не должны включаться в заработную плату. </w:t>
      </w:r>
    </w:p>
  </w:footnote>
  <w:footnote w:id="2">
    <w:p w14:paraId="392BA050" w14:textId="77777777" w:rsidR="00801155" w:rsidRDefault="00801155" w:rsidP="00801155">
      <w:pPr>
        <w:pStyle w:val="a3"/>
      </w:pPr>
      <w:r>
        <w:rPr>
          <w:rStyle w:val="a5"/>
        </w:rPr>
        <w:footnoteRef/>
      </w:r>
      <w:r>
        <w:t xml:space="preserve"> Индивидуальные предприниматели к категории организаций не относятся, в связи с чем привлечение их в качестве поставщика услуг недопустимо.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733"/>
    <w:multiLevelType w:val="multilevel"/>
    <w:tmpl w:val="219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6C45CC"/>
    <w:multiLevelType w:val="hybridMultilevel"/>
    <w:tmpl w:val="ABA448EE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6BD264D"/>
    <w:multiLevelType w:val="multilevel"/>
    <w:tmpl w:val="64B6FB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color w:val="000000"/>
      </w:rPr>
    </w:lvl>
    <w:lvl w:ilvl="3">
      <w:start w:val="1"/>
      <w:numFmt w:val="russianLow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C611757"/>
    <w:multiLevelType w:val="multilevel"/>
    <w:tmpl w:val="454E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12" w:hanging="1800"/>
      </w:pPr>
      <w:rPr>
        <w:rFonts w:hint="default"/>
      </w:rPr>
    </w:lvl>
  </w:abstractNum>
  <w:abstractNum w:abstractNumId="4" w15:restartNumberingAfterBreak="0">
    <w:nsid w:val="7CC910A6"/>
    <w:multiLevelType w:val="hybridMultilevel"/>
    <w:tmpl w:val="D3CE0B6E"/>
    <w:lvl w:ilvl="0" w:tplc="0CC67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7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765610">
    <w:abstractNumId w:val="4"/>
  </w:num>
  <w:num w:numId="3" w16cid:durableId="1509754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504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1059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7A"/>
    <w:rsid w:val="00294DB4"/>
    <w:rsid w:val="00801155"/>
    <w:rsid w:val="00801C7A"/>
    <w:rsid w:val="00962362"/>
    <w:rsid w:val="00BB398B"/>
    <w:rsid w:val="00DB71DE"/>
    <w:rsid w:val="00F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0E8E"/>
  <w15:chartTrackingRefBased/>
  <w15:docId w15:val="{E6CBA9F5-DC76-42D1-A8C6-E7A34B0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E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51BE8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E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F51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51BE8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1BE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51BE8"/>
    <w:rPr>
      <w:vertAlign w:val="superscript"/>
    </w:rPr>
  </w:style>
  <w:style w:type="paragraph" w:styleId="a6">
    <w:name w:val="List Paragraph"/>
    <w:basedOn w:val="a"/>
    <w:uiPriority w:val="34"/>
    <w:qFormat/>
    <w:rsid w:val="00F51BE8"/>
    <w:pPr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011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4</cp:revision>
  <dcterms:created xsi:type="dcterms:W3CDTF">2022-04-21T16:42:00Z</dcterms:created>
  <dcterms:modified xsi:type="dcterms:W3CDTF">2022-07-07T16:25:00Z</dcterms:modified>
</cp:coreProperties>
</file>